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仿宋_GB2312" w:eastAsia="仿宋_GB2312" w:cs="宋体"/>
          <w:b/>
          <w:sz w:val="24"/>
        </w:rPr>
      </w:pPr>
      <w:bookmarkStart w:id="0" w:name="_GoBack"/>
      <w:bookmarkEnd w:id="0"/>
      <w:r>
        <w:rPr>
          <w:rFonts w:hint="eastAsia" w:ascii="仿宋_GB2312" w:eastAsia="仿宋_GB2312" w:cs="宋体"/>
          <w:b/>
          <w:sz w:val="24"/>
        </w:rPr>
        <w:t>学习方式与录取类别</w:t>
      </w:r>
    </w:p>
    <w:p>
      <w:pPr>
        <w:snapToGrid w:val="0"/>
        <w:spacing w:line="360" w:lineRule="auto"/>
        <w:ind w:firstLine="460" w:firstLineChars="192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（一）学习方式：分为全日制和非全日制两类，具体见招生专业目录。</w:t>
      </w:r>
    </w:p>
    <w:p>
      <w:pPr>
        <w:snapToGrid w:val="0"/>
        <w:spacing w:line="360" w:lineRule="auto"/>
        <w:ind w:firstLine="460" w:firstLineChars="192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（二）录取类别：分为非定向就业和定向就业两类。</w:t>
      </w:r>
    </w:p>
    <w:p>
      <w:pPr>
        <w:snapToGrid w:val="0"/>
        <w:spacing w:line="360" w:lineRule="auto"/>
        <w:ind w:firstLine="460" w:firstLineChars="192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1.全日制非定向就业研究生，须将人事档案转至我校。在规定时间内不能将人事档案转至我校的，将不予学籍注册。</w:t>
      </w:r>
    </w:p>
    <w:p>
      <w:pPr>
        <w:snapToGrid w:val="0"/>
        <w:spacing w:line="360" w:lineRule="auto"/>
        <w:ind w:firstLine="460" w:firstLineChars="192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2.定向就业的研究生均须在拟录取时与我校、用人单位签订定向就业协议。人事档案可不转至我校。</w:t>
      </w:r>
    </w:p>
    <w:p>
      <w:pPr>
        <w:snapToGrid w:val="0"/>
        <w:spacing w:line="360" w:lineRule="auto"/>
        <w:ind w:firstLine="463" w:firstLineChars="192"/>
        <w:rPr>
          <w:rFonts w:hint="eastAsia" w:ascii="仿宋_GB2312" w:eastAsia="仿宋_GB2312" w:cs="宋体"/>
          <w:b/>
          <w:sz w:val="24"/>
        </w:rPr>
      </w:pPr>
      <w:r>
        <w:rPr>
          <w:rFonts w:hint="eastAsia" w:ascii="仿宋_GB2312" w:eastAsia="仿宋_GB2312" w:cs="宋体"/>
          <w:b/>
          <w:sz w:val="24"/>
        </w:rPr>
        <w:t>（注：考生因报考硕士研究生与所在单位产生的问题由考生自行处理。若因此造成考生不能复试或无法录取，我校不承担任何责任。）</w:t>
      </w:r>
    </w:p>
    <w:p>
      <w:pPr>
        <w:snapToGrid w:val="0"/>
        <w:spacing w:line="360" w:lineRule="auto"/>
        <w:ind w:firstLine="460" w:firstLineChars="192"/>
        <w:rPr>
          <w:rFonts w:hint="eastAsia" w:ascii="仿宋_GB2312" w:eastAsia="仿宋_GB2312" w:cs="宋体"/>
          <w:b/>
          <w:sz w:val="24"/>
        </w:rPr>
      </w:pPr>
      <w:r>
        <w:rPr>
          <w:rFonts w:hint="eastAsia" w:ascii="仿宋_GB2312" w:eastAsia="仿宋_GB2312" w:cs="宋体"/>
          <w:sz w:val="24"/>
        </w:rPr>
        <w:t>（三）</w:t>
      </w:r>
      <w:r>
        <w:rPr>
          <w:rFonts w:hint="eastAsia" w:ascii="仿宋_GB2312" w:eastAsia="仿宋_GB2312" w:cs="宋体"/>
          <w:b/>
          <w:sz w:val="24"/>
        </w:rPr>
        <w:t>关于学习方式和录取类别的相关政策，若有变动，以国家最新政策为准。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338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fz</dc:creator>
  <cp:lastModifiedBy>fz</cp:lastModifiedBy>
  <dcterms:modified xsi:type="dcterms:W3CDTF">2017-09-15T07:55:55Z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